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1D2D" w14:textId="77777777" w:rsidR="005D7E11" w:rsidRDefault="00535337">
      <w:pPr>
        <w:pStyle w:val="Heading"/>
      </w:pPr>
      <w:r>
        <w:rPr>
          <w:rFonts w:eastAsia="Times New Roman" w:cs="Times New Roman"/>
          <w:b/>
          <w:caps/>
          <w:noProof/>
          <w:color w:val="000000"/>
          <w:sz w:val="32"/>
          <w:szCs w:val="20"/>
        </w:rPr>
        <w:drawing>
          <wp:anchor distT="0" distB="0" distL="114300" distR="114300" simplePos="0" relativeHeight="251658240" behindDoc="0" locked="0" layoutInCell="1" allowOverlap="1" wp14:anchorId="3A9AD2B4" wp14:editId="60921F67">
            <wp:simplePos x="0" y="0"/>
            <wp:positionH relativeFrom="column">
              <wp:posOffset>-57241</wp:posOffset>
            </wp:positionH>
            <wp:positionV relativeFrom="paragraph">
              <wp:posOffset>20162</wp:posOffset>
            </wp:positionV>
            <wp:extent cx="1244882" cy="875163"/>
            <wp:effectExtent l="0" t="0" r="0" b="1137"/>
            <wp:wrapNone/>
            <wp:docPr id="1" name="Form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6554" t="8110" r="3778" b="9178"/>
                    <a:stretch>
                      <a:fillRect/>
                    </a:stretch>
                  </pic:blipFill>
                  <pic:spPr>
                    <a:xfrm>
                      <a:off x="0" y="0"/>
                      <a:ext cx="1244882" cy="875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00D0EE8" w14:textId="77777777" w:rsidR="005D7E11" w:rsidRDefault="005D7E11">
      <w:pPr>
        <w:pStyle w:val="Heading"/>
        <w:spacing w:before="0" w:after="0"/>
        <w:ind w:left="-15" w:right="15"/>
        <w:jc w:val="center"/>
        <w:rPr>
          <w:rFonts w:eastAsia="Times New Roman" w:cs="Times New Roman"/>
          <w:b/>
          <w:caps/>
          <w:color w:val="000000"/>
          <w:sz w:val="32"/>
          <w:szCs w:val="20"/>
        </w:rPr>
      </w:pPr>
    </w:p>
    <w:p w14:paraId="50019FAA" w14:textId="77777777" w:rsidR="005D7E11" w:rsidRDefault="005D7E11">
      <w:pPr>
        <w:pStyle w:val="Heading"/>
        <w:spacing w:before="0" w:after="0"/>
        <w:ind w:left="-15" w:right="15"/>
        <w:jc w:val="center"/>
        <w:rPr>
          <w:rFonts w:eastAsia="Times New Roman" w:cs="Times New Roman"/>
          <w:b/>
          <w:caps/>
          <w:color w:val="000000"/>
          <w:sz w:val="32"/>
          <w:szCs w:val="20"/>
        </w:rPr>
      </w:pPr>
    </w:p>
    <w:p w14:paraId="69571E3D" w14:textId="77777777" w:rsidR="005D7E11" w:rsidRDefault="00535337">
      <w:pPr>
        <w:pStyle w:val="Heading"/>
        <w:spacing w:before="0" w:after="0"/>
        <w:ind w:left="-15" w:right="15"/>
        <w:jc w:val="center"/>
        <w:rPr>
          <w:rFonts w:eastAsia="Times New Roman" w:cs="Times New Roman"/>
          <w:b/>
          <w:caps/>
          <w:color w:val="000000"/>
          <w:sz w:val="32"/>
          <w:szCs w:val="20"/>
        </w:rPr>
      </w:pPr>
      <w:r>
        <w:rPr>
          <w:rFonts w:eastAsia="Times New Roman" w:cs="Times New Roman"/>
          <w:b/>
          <w:caps/>
          <w:color w:val="000000"/>
          <w:sz w:val="32"/>
          <w:szCs w:val="20"/>
        </w:rPr>
        <w:t>PRÉFECTURE de VAUCLUSE</w:t>
      </w:r>
    </w:p>
    <w:p w14:paraId="4E2FF010" w14:textId="77777777" w:rsidR="005D7E11" w:rsidRDefault="005D7E11">
      <w:pPr>
        <w:pStyle w:val="Liste"/>
        <w:spacing w:after="0"/>
        <w:ind w:left="-15" w:right="15"/>
        <w:jc w:val="center"/>
        <w:rPr>
          <w:rFonts w:cs="Times New Roman"/>
          <w:color w:val="000000"/>
          <w:sz w:val="32"/>
          <w:szCs w:val="32"/>
        </w:rPr>
      </w:pPr>
    </w:p>
    <w:p w14:paraId="201970DA" w14:textId="77777777" w:rsidR="005D7E11" w:rsidRDefault="005D7E11">
      <w:pPr>
        <w:pStyle w:val="Liste"/>
        <w:spacing w:after="0"/>
        <w:ind w:left="-15" w:right="15"/>
        <w:jc w:val="center"/>
        <w:rPr>
          <w:rFonts w:cs="Times New Roman"/>
          <w:color w:val="000000"/>
          <w:sz w:val="32"/>
          <w:szCs w:val="32"/>
        </w:rPr>
      </w:pPr>
    </w:p>
    <w:p w14:paraId="0B0B2946" w14:textId="77777777" w:rsidR="005D7E11" w:rsidRDefault="005D7E11">
      <w:pPr>
        <w:pStyle w:val="Liste"/>
        <w:spacing w:after="0"/>
        <w:ind w:left="-15" w:right="15"/>
        <w:jc w:val="center"/>
        <w:rPr>
          <w:rFonts w:cs="Times New Roman"/>
          <w:color w:val="000000"/>
          <w:sz w:val="32"/>
          <w:szCs w:val="32"/>
        </w:rPr>
      </w:pPr>
    </w:p>
    <w:p w14:paraId="463B203F" w14:textId="77777777" w:rsidR="005D7E11" w:rsidRDefault="00535337">
      <w:pPr>
        <w:pStyle w:val="Liste"/>
        <w:spacing w:after="0"/>
        <w:ind w:left="-15" w:right="15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AVENANT A LA CONVENTION DE MISE EN OEUVRE</w:t>
      </w:r>
    </w:p>
    <w:p w14:paraId="6550E51B" w14:textId="77777777" w:rsidR="005D7E11" w:rsidRDefault="00535337">
      <w:pPr>
        <w:pStyle w:val="Liste"/>
        <w:spacing w:after="0"/>
        <w:ind w:left="-15" w:right="15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DE LA TELETRANSMISSION DES ACTES</w:t>
      </w:r>
    </w:p>
    <w:p w14:paraId="6B721CF0" w14:textId="77777777" w:rsidR="005D7E11" w:rsidRDefault="005D7E11">
      <w:pPr>
        <w:pStyle w:val="Liste"/>
        <w:spacing w:after="0"/>
        <w:ind w:left="-15" w:right="15"/>
        <w:jc w:val="center"/>
        <w:rPr>
          <w:rFonts w:cs="Times New Roman"/>
          <w:color w:val="000000"/>
          <w:sz w:val="24"/>
          <w:szCs w:val="24"/>
        </w:rPr>
      </w:pPr>
    </w:p>
    <w:p w14:paraId="13CD251E" w14:textId="77777777" w:rsidR="005D7E11" w:rsidRDefault="005D7E11">
      <w:pPr>
        <w:pStyle w:val="Liste"/>
        <w:spacing w:after="0"/>
        <w:ind w:left="-15" w:right="15"/>
        <w:jc w:val="center"/>
        <w:rPr>
          <w:rFonts w:cs="Times New Roman"/>
          <w:color w:val="000000"/>
          <w:sz w:val="24"/>
          <w:szCs w:val="24"/>
        </w:rPr>
      </w:pPr>
    </w:p>
    <w:p w14:paraId="4015A22D" w14:textId="77777777" w:rsidR="005D7E11" w:rsidRDefault="00535337">
      <w:pPr>
        <w:pStyle w:val="Liste"/>
        <w:spacing w:after="0"/>
        <w:ind w:left="-15" w:right="15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relatif à la télétransmission des documents budgétaires</w:t>
      </w:r>
    </w:p>
    <w:p w14:paraId="18FB6D9E" w14:textId="77777777" w:rsidR="005D7E11" w:rsidRDefault="00535337">
      <w:pPr>
        <w:pStyle w:val="Liste"/>
        <w:spacing w:after="0"/>
        <w:ind w:right="15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sur @ctes budgétaires</w:t>
      </w:r>
    </w:p>
    <w:p w14:paraId="00A91501" w14:textId="77777777" w:rsidR="005D7E11" w:rsidRDefault="005D7E11">
      <w:pPr>
        <w:pStyle w:val="Liste"/>
        <w:spacing w:after="0"/>
        <w:ind w:left="-15" w:right="15"/>
        <w:jc w:val="center"/>
        <w:rPr>
          <w:rFonts w:cs="Times New Roman"/>
          <w:color w:val="000000"/>
          <w:sz w:val="24"/>
          <w:szCs w:val="24"/>
        </w:rPr>
      </w:pPr>
    </w:p>
    <w:p w14:paraId="7197693A" w14:textId="77777777" w:rsidR="005D7E11" w:rsidRDefault="005D7E11">
      <w:pPr>
        <w:pStyle w:val="Liste"/>
        <w:spacing w:after="0"/>
        <w:ind w:left="-15" w:right="15"/>
        <w:jc w:val="center"/>
        <w:rPr>
          <w:rFonts w:cs="Times New Roman"/>
          <w:color w:val="000000"/>
          <w:sz w:val="24"/>
          <w:szCs w:val="24"/>
        </w:rPr>
      </w:pPr>
    </w:p>
    <w:p w14:paraId="58ACDA2B" w14:textId="77777777" w:rsidR="005D7E11" w:rsidRDefault="005D7E11">
      <w:pPr>
        <w:pStyle w:val="Liste"/>
        <w:spacing w:after="0"/>
        <w:ind w:left="-15" w:right="15"/>
        <w:jc w:val="center"/>
        <w:rPr>
          <w:rFonts w:cs="Times New Roman"/>
          <w:color w:val="000000"/>
          <w:sz w:val="24"/>
          <w:szCs w:val="24"/>
        </w:rPr>
      </w:pPr>
    </w:p>
    <w:p w14:paraId="7A3A91FD" w14:textId="77777777" w:rsidR="005D7E11" w:rsidRDefault="00535337">
      <w:pPr>
        <w:pStyle w:val="Liste"/>
        <w:spacing w:after="0"/>
        <w:ind w:left="-15" w:right="15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**************</w:t>
      </w:r>
    </w:p>
    <w:p w14:paraId="33FF861B" w14:textId="77777777" w:rsidR="005D7E11" w:rsidRDefault="005D7E11">
      <w:pPr>
        <w:pStyle w:val="EspAv05"/>
        <w:spacing w:before="0"/>
        <w:ind w:left="-15" w:right="15"/>
        <w:rPr>
          <w:color w:val="000000"/>
          <w:sz w:val="24"/>
          <w:szCs w:val="24"/>
        </w:rPr>
      </w:pPr>
    </w:p>
    <w:p w14:paraId="6CC88290" w14:textId="77777777" w:rsidR="005D7E11" w:rsidRDefault="005D7E11">
      <w:pPr>
        <w:pStyle w:val="EspAv05"/>
        <w:spacing w:before="0"/>
        <w:ind w:left="-15" w:right="15"/>
        <w:rPr>
          <w:color w:val="000000"/>
          <w:sz w:val="24"/>
          <w:szCs w:val="24"/>
        </w:rPr>
      </w:pPr>
    </w:p>
    <w:p w14:paraId="6345B676" w14:textId="77777777" w:rsidR="005D7E11" w:rsidRDefault="00535337">
      <w:pPr>
        <w:pStyle w:val="EspAv05"/>
        <w:spacing w:before="0"/>
        <w:ind w:left="-15" w:right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Vu la convention de mise en œuvre de la télétransmission des actes signée le 27/01/2010 entre la préfecture de Vaucluse et la commune de Morières-lès-Avignon ;</w:t>
      </w:r>
    </w:p>
    <w:p w14:paraId="0475B94B" w14:textId="77777777" w:rsidR="005D7E11" w:rsidRDefault="005D7E11">
      <w:pPr>
        <w:pStyle w:val="EspAv05"/>
        <w:spacing w:before="0"/>
        <w:ind w:left="-15" w:right="15"/>
        <w:rPr>
          <w:color w:val="000000"/>
          <w:sz w:val="24"/>
          <w:szCs w:val="24"/>
        </w:rPr>
      </w:pPr>
    </w:p>
    <w:p w14:paraId="33521F5B" w14:textId="0918B8B2" w:rsidR="005D7E11" w:rsidRDefault="00535337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Vu la délibération du </w:t>
      </w:r>
      <w:r w:rsidR="00B164E7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 xml:space="preserve"> juin 2022 du conseil municipal approuvant la transmission par voie dématérialisée des documents budgétaires et autorisant le maire de Morières-lès-Avignon à signer à cette fin un avenant à la convention susvisée ;</w:t>
      </w:r>
    </w:p>
    <w:p w14:paraId="7089A6DE" w14:textId="77777777" w:rsidR="005D7E11" w:rsidRDefault="005D7E11">
      <w:pPr>
        <w:pStyle w:val="EspAv05"/>
        <w:spacing w:before="0"/>
        <w:ind w:left="-15" w:right="15"/>
        <w:rPr>
          <w:color w:val="000000"/>
          <w:sz w:val="24"/>
          <w:szCs w:val="24"/>
        </w:rPr>
      </w:pPr>
    </w:p>
    <w:p w14:paraId="6BD3976B" w14:textId="77777777" w:rsidR="005D7E11" w:rsidRDefault="00535337">
      <w:pPr>
        <w:pStyle w:val="EspAv05"/>
        <w:spacing w:before="0"/>
        <w:ind w:left="-15" w:right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Considérant qu’il y a lieu de modifier cette convention ;</w:t>
      </w:r>
    </w:p>
    <w:p w14:paraId="2F64DEFB" w14:textId="77777777" w:rsidR="005D7E11" w:rsidRDefault="005D7E11">
      <w:pPr>
        <w:pStyle w:val="EspAv05"/>
        <w:spacing w:before="0"/>
        <w:ind w:left="-15" w:right="15"/>
        <w:rPr>
          <w:color w:val="000000"/>
          <w:sz w:val="24"/>
          <w:szCs w:val="24"/>
        </w:rPr>
      </w:pPr>
    </w:p>
    <w:p w14:paraId="4BCB0771" w14:textId="77777777" w:rsidR="005D7E11" w:rsidRDefault="00535337">
      <w:pPr>
        <w:pStyle w:val="Style1"/>
        <w:spacing w:before="0"/>
        <w:ind w:left="-15" w:right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parties à la convention initiale décident de lui apporter les modifications suivantes :</w:t>
      </w:r>
    </w:p>
    <w:p w14:paraId="46E96619" w14:textId="77777777" w:rsidR="005D7E11" w:rsidRDefault="005D7E11">
      <w:pPr>
        <w:pStyle w:val="EspAv05"/>
        <w:spacing w:before="0"/>
        <w:ind w:left="-15" w:right="15"/>
        <w:rPr>
          <w:color w:val="000000"/>
          <w:sz w:val="24"/>
          <w:szCs w:val="24"/>
        </w:rPr>
      </w:pPr>
    </w:p>
    <w:p w14:paraId="02FEA414" w14:textId="77777777" w:rsidR="005D7E11" w:rsidRDefault="005D7E11">
      <w:pPr>
        <w:pStyle w:val="EspAv05"/>
        <w:spacing w:before="0"/>
        <w:ind w:left="-15" w:right="15"/>
        <w:rPr>
          <w:color w:val="000000"/>
          <w:sz w:val="24"/>
          <w:szCs w:val="24"/>
        </w:rPr>
      </w:pPr>
    </w:p>
    <w:p w14:paraId="7DE94251" w14:textId="5F347E67" w:rsidR="005D7E11" w:rsidRDefault="00535337">
      <w:pPr>
        <w:pStyle w:val="EspAv05"/>
        <w:spacing w:before="0"/>
        <w:ind w:left="-15" w:right="1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Article 1</w:t>
      </w:r>
      <w:r>
        <w:rPr>
          <w:b/>
          <w:bCs/>
          <w:color w:val="000000"/>
          <w:sz w:val="24"/>
          <w:szCs w:val="24"/>
          <w:u w:val="single"/>
          <w:vertAlign w:val="superscript"/>
        </w:rPr>
        <w:t>er</w:t>
      </w:r>
      <w:r>
        <w:rPr>
          <w:color w:val="000000"/>
          <w:sz w:val="24"/>
          <w:szCs w:val="24"/>
          <w:vertAlign w:val="superscript"/>
        </w:rPr>
        <w:t> </w:t>
      </w:r>
      <w:r>
        <w:rPr>
          <w:color w:val="000000"/>
          <w:sz w:val="24"/>
          <w:szCs w:val="24"/>
        </w:rPr>
        <w:t>: Il est ajouté un article 5 bis, ainsi rédigé, à la convention :</w:t>
      </w:r>
    </w:p>
    <w:p w14:paraId="7BE223B6" w14:textId="77777777" w:rsidR="00D82B86" w:rsidRDefault="00D82B86">
      <w:pPr>
        <w:pStyle w:val="EspAv05"/>
        <w:spacing w:before="0"/>
        <w:ind w:left="-15" w:right="15"/>
      </w:pPr>
    </w:p>
    <w:p w14:paraId="78A22053" w14:textId="77777777" w:rsidR="005D7E11" w:rsidRDefault="005D7E11">
      <w:pPr>
        <w:pStyle w:val="EspAv05"/>
        <w:spacing w:before="0"/>
        <w:ind w:left="-15" w:right="15"/>
        <w:rPr>
          <w:rFonts w:ascii="Garamond" w:hAnsi="Garamond" w:cs="Garamond"/>
          <w:color w:val="000000"/>
          <w:sz w:val="24"/>
          <w:szCs w:val="24"/>
        </w:rPr>
      </w:pPr>
    </w:p>
    <w:p w14:paraId="7EBF0D81" w14:textId="77777777" w:rsidR="005D7E11" w:rsidRDefault="005D7E11">
      <w:pPr>
        <w:pStyle w:val="EspAv05"/>
        <w:spacing w:before="0"/>
        <w:ind w:right="424"/>
        <w:rPr>
          <w:rFonts w:ascii="Garamond" w:hAnsi="Garamond" w:cs="Garamond"/>
          <w:color w:val="000000"/>
          <w:sz w:val="24"/>
          <w:szCs w:val="24"/>
        </w:rPr>
      </w:pPr>
    </w:p>
    <w:tbl>
      <w:tblPr>
        <w:tblW w:w="96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8"/>
      </w:tblGrid>
      <w:tr w:rsidR="005D7E11" w14:paraId="055FBB6D" w14:textId="77777777"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609B9" w14:textId="77777777" w:rsidR="005D7E11" w:rsidRDefault="00535337">
            <w:pPr>
              <w:pStyle w:val="EspAv05"/>
              <w:snapToGrid w:val="0"/>
              <w:spacing w:before="0"/>
              <w:ind w:left="30" w:right="566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Article 5 bis: Télétransmission des documents budgétaires sur ACTES budgétaire</w:t>
            </w:r>
          </w:p>
        </w:tc>
      </w:tr>
    </w:tbl>
    <w:p w14:paraId="44A60770" w14:textId="77777777" w:rsidR="005D7E11" w:rsidRDefault="00535337">
      <w:pPr>
        <w:pStyle w:val="EspAv05"/>
        <w:spacing w:before="0"/>
        <w:ind w:left="30" w:right="1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30781F0F" w14:textId="77777777" w:rsidR="005D7E11" w:rsidRDefault="00535337">
      <w:pPr>
        <w:pStyle w:val="EspAv05"/>
        <w:spacing w:before="0"/>
        <w:ind w:left="30" w:right="1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562DB4EA" w14:textId="2D80E558" w:rsidR="005D7E11" w:rsidRDefault="00535337" w:rsidP="00D82B86">
      <w:pPr>
        <w:pStyle w:val="EspAv05"/>
        <w:spacing w:before="0"/>
        <w:ind w:left="30" w:right="1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Pour la télétransmission des documents budgétaires sur ACTES Budgétaire, il n’est pas fait application du dernier alinéa du 3.4. En cas d’interruption du service pour cause de maintenance, il appartient à l’émetteur d’attendre le rétablissement du service pour adresser ses documents sur ACTES Budgétaire.</w:t>
      </w:r>
    </w:p>
    <w:p w14:paraId="44EB2DEC" w14:textId="0D4D7F1E" w:rsidR="00D82B86" w:rsidRDefault="00D82B86" w:rsidP="00D82B86">
      <w:pPr>
        <w:pStyle w:val="EspAv05"/>
        <w:spacing w:before="0"/>
        <w:ind w:left="30" w:right="15"/>
        <w:rPr>
          <w:rFonts w:cs="Arial"/>
          <w:color w:val="000000"/>
          <w:sz w:val="24"/>
          <w:szCs w:val="24"/>
        </w:rPr>
      </w:pPr>
    </w:p>
    <w:p w14:paraId="71126734" w14:textId="77777777" w:rsidR="00D82B86" w:rsidRDefault="00D82B86" w:rsidP="00D82B86">
      <w:pPr>
        <w:pStyle w:val="EspAv05"/>
        <w:spacing w:before="0"/>
        <w:ind w:left="30" w:right="15"/>
        <w:rPr>
          <w:rFonts w:cs="Arial"/>
          <w:color w:val="000000"/>
          <w:sz w:val="24"/>
          <w:szCs w:val="24"/>
        </w:rPr>
      </w:pPr>
    </w:p>
    <w:p w14:paraId="32825B83" w14:textId="77777777" w:rsidR="005D7E11" w:rsidRDefault="005D7E11">
      <w:pPr>
        <w:pStyle w:val="EspAv05"/>
        <w:spacing w:before="0"/>
        <w:ind w:left="851" w:right="566"/>
        <w:rPr>
          <w:rFonts w:cs="Arial"/>
          <w:color w:val="000000"/>
          <w:sz w:val="24"/>
          <w:szCs w:val="24"/>
        </w:rPr>
      </w:pPr>
    </w:p>
    <w:p w14:paraId="31D3A9DC" w14:textId="6A0E36C4" w:rsidR="00D82B86" w:rsidRDefault="00535337" w:rsidP="00D82B86">
      <w:pPr>
        <w:pStyle w:val="EspAv05"/>
        <w:spacing w:before="0"/>
        <w:ind w:left="15" w:right="566"/>
        <w:rPr>
          <w:rFonts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cs="Arial"/>
          <w:b/>
          <w:bCs/>
          <w:i/>
          <w:iCs/>
          <w:color w:val="000000"/>
          <w:sz w:val="24"/>
          <w:szCs w:val="24"/>
          <w:u w:val="single"/>
        </w:rPr>
        <w:lastRenderedPageBreak/>
        <w:t>5.1 bis: Documents budgétaires concernés par la télétransmision</w:t>
      </w:r>
    </w:p>
    <w:p w14:paraId="3E57E73A" w14:textId="77777777" w:rsidR="00D82B86" w:rsidRDefault="00D82B86" w:rsidP="00D82B86">
      <w:pPr>
        <w:pStyle w:val="EspAv05"/>
        <w:spacing w:before="0"/>
        <w:ind w:left="15" w:right="566"/>
        <w:rPr>
          <w:rFonts w:cs="Arial"/>
          <w:b/>
          <w:bCs/>
          <w:i/>
          <w:iCs/>
          <w:color w:val="000000"/>
          <w:sz w:val="24"/>
          <w:szCs w:val="24"/>
          <w:u w:val="single"/>
        </w:rPr>
      </w:pPr>
    </w:p>
    <w:p w14:paraId="768E401A" w14:textId="4D4E76BC" w:rsidR="005D7E11" w:rsidRDefault="00535337" w:rsidP="00D82B86">
      <w:pPr>
        <w:pStyle w:val="EspAv05"/>
        <w:spacing w:before="0"/>
        <w:ind w:left="15" w:right="56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La possibilité de télétransmettre les documents budgétaires porte sur l'ensemble des maquettes dématérialisées pour un exercice budgétaire considéré. Elle concerne les types de documents suivants :</w:t>
      </w:r>
    </w:p>
    <w:p w14:paraId="562DDBE5" w14:textId="77777777" w:rsidR="00D82B86" w:rsidRDefault="00D82B86" w:rsidP="00D82B86">
      <w:pPr>
        <w:pStyle w:val="EspAv05"/>
        <w:spacing w:before="0"/>
        <w:ind w:left="15" w:right="566"/>
        <w:rPr>
          <w:rFonts w:cs="Arial"/>
          <w:color w:val="000000"/>
          <w:sz w:val="24"/>
          <w:szCs w:val="24"/>
        </w:rPr>
      </w:pPr>
    </w:p>
    <w:p w14:paraId="4A3E2A38" w14:textId="77777777" w:rsidR="005D7E11" w:rsidRDefault="00535337">
      <w:pPr>
        <w:pStyle w:val="EspAv05"/>
        <w:numPr>
          <w:ilvl w:val="0"/>
          <w:numId w:val="7"/>
        </w:numPr>
        <w:spacing w:before="0"/>
        <w:ind w:left="851" w:right="566" w:firstLine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budget primitif,</w:t>
      </w:r>
    </w:p>
    <w:p w14:paraId="4DE67B16" w14:textId="77777777" w:rsidR="005D7E11" w:rsidRDefault="00535337">
      <w:pPr>
        <w:pStyle w:val="EspAv05"/>
        <w:numPr>
          <w:ilvl w:val="0"/>
          <w:numId w:val="4"/>
        </w:numPr>
        <w:spacing w:before="0"/>
        <w:ind w:left="851" w:right="566" w:firstLine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budget supplémentaire,</w:t>
      </w:r>
    </w:p>
    <w:p w14:paraId="1E0CE58B" w14:textId="77777777" w:rsidR="005D7E11" w:rsidRDefault="00535337">
      <w:pPr>
        <w:pStyle w:val="EspAv05"/>
        <w:numPr>
          <w:ilvl w:val="0"/>
          <w:numId w:val="4"/>
        </w:numPr>
        <w:spacing w:before="0"/>
        <w:ind w:left="851" w:right="566" w:firstLine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décision(s) modificative(s),</w:t>
      </w:r>
    </w:p>
    <w:p w14:paraId="6FCEC435" w14:textId="77777777" w:rsidR="005D7E11" w:rsidRDefault="00535337">
      <w:pPr>
        <w:pStyle w:val="EspAv05"/>
        <w:numPr>
          <w:ilvl w:val="0"/>
          <w:numId w:val="4"/>
        </w:numPr>
        <w:spacing w:before="0"/>
        <w:ind w:left="851" w:right="566" w:firstLine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compte administratif.</w:t>
      </w:r>
    </w:p>
    <w:p w14:paraId="6A4A26BA" w14:textId="77777777" w:rsidR="005D7E11" w:rsidRDefault="005D7E11">
      <w:pPr>
        <w:pStyle w:val="Standard"/>
        <w:autoSpaceDE w:val="0"/>
        <w:jc w:val="left"/>
        <w:rPr>
          <w:rFonts w:ascii="Times New Roman" w:hAnsi="Times New Roman"/>
          <w:color w:val="000000"/>
          <w:sz w:val="24"/>
        </w:rPr>
      </w:pPr>
    </w:p>
    <w:p w14:paraId="39BCA8FA" w14:textId="77777777" w:rsidR="005D7E11" w:rsidRDefault="00535337">
      <w:pPr>
        <w:pStyle w:val="EspAv05"/>
        <w:spacing w:before="0"/>
        <w:ind w:right="566"/>
        <w:rPr>
          <w:rFonts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cs="Arial"/>
          <w:b/>
          <w:bCs/>
          <w:i/>
          <w:iCs/>
          <w:color w:val="000000"/>
          <w:sz w:val="24"/>
          <w:szCs w:val="24"/>
          <w:u w:val="single"/>
        </w:rPr>
        <w:t>5.2 bis: Élaboration du document budgétaire à télétransmettre à la préfecture</w:t>
      </w:r>
    </w:p>
    <w:p w14:paraId="15AB5EE2" w14:textId="77777777" w:rsidR="005D7E11" w:rsidRDefault="005D7E11">
      <w:pPr>
        <w:pStyle w:val="EspAv05"/>
        <w:spacing w:before="0"/>
        <w:ind w:left="851" w:right="566"/>
        <w:rPr>
          <w:rFonts w:cs="Arial"/>
          <w:color w:val="000000"/>
          <w:sz w:val="24"/>
          <w:szCs w:val="24"/>
        </w:rPr>
      </w:pPr>
    </w:p>
    <w:p w14:paraId="6A63B254" w14:textId="3859B29D" w:rsidR="005D7E11" w:rsidRDefault="00535337">
      <w:pPr>
        <w:pStyle w:val="EspAv05"/>
        <w:spacing w:before="0"/>
        <w:ind w:left="15" w:right="3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Les documents budgétaires doivent être transmis au format XML. Le flux XML contenant le document budgétaire doit avoir été scellé par l'application TotEM (logiciel libre mis à la disposition des collectivités par la Direction Générale des Collectivités Locales), ou par un progiciel financier compatible avec le format XML et ayant intégré les fonctionnalités de TotEM.</w:t>
      </w:r>
    </w:p>
    <w:p w14:paraId="0DBD437E" w14:textId="77777777" w:rsidR="005D7E11" w:rsidRDefault="005D7E11">
      <w:pPr>
        <w:pStyle w:val="EspAv05"/>
        <w:spacing w:before="0"/>
        <w:ind w:left="851" w:right="566"/>
        <w:rPr>
          <w:rFonts w:cs="Arial"/>
          <w:color w:val="000000"/>
          <w:sz w:val="24"/>
          <w:szCs w:val="24"/>
        </w:rPr>
      </w:pPr>
    </w:p>
    <w:p w14:paraId="30D2FFBB" w14:textId="77777777" w:rsidR="005D7E11" w:rsidRDefault="00535337">
      <w:pPr>
        <w:pStyle w:val="EspAv05"/>
        <w:spacing w:before="0"/>
        <w:ind w:right="566"/>
        <w:rPr>
          <w:rFonts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cs="Arial"/>
          <w:b/>
          <w:bCs/>
          <w:i/>
          <w:iCs/>
          <w:color w:val="000000"/>
          <w:sz w:val="24"/>
          <w:szCs w:val="24"/>
          <w:u w:val="single"/>
        </w:rPr>
        <w:t>5.3 bis : Télétransmission des documents budgétaires de l'exercice</w:t>
      </w:r>
    </w:p>
    <w:p w14:paraId="29A9834C" w14:textId="77777777" w:rsidR="005D7E11" w:rsidRDefault="005D7E11">
      <w:pPr>
        <w:pStyle w:val="EspAv05"/>
        <w:spacing w:before="0"/>
        <w:ind w:left="851" w:right="566"/>
        <w:rPr>
          <w:rFonts w:cs="Arial"/>
          <w:color w:val="000000"/>
          <w:sz w:val="24"/>
          <w:szCs w:val="24"/>
        </w:rPr>
      </w:pPr>
    </w:p>
    <w:p w14:paraId="671ED6B2" w14:textId="215C91FB" w:rsidR="005D7E11" w:rsidRDefault="00535337">
      <w:pPr>
        <w:pStyle w:val="EspAv05"/>
        <w:spacing w:before="0"/>
        <w:ind w:right="4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La télétransmission des documents budgétaires doit porter sur l'exercice budgétaire complet :</w:t>
      </w:r>
    </w:p>
    <w:p w14:paraId="775919AE" w14:textId="77777777" w:rsidR="00D82B86" w:rsidRDefault="00D82B86">
      <w:pPr>
        <w:pStyle w:val="EspAv05"/>
        <w:spacing w:before="0"/>
        <w:ind w:right="45"/>
        <w:rPr>
          <w:rFonts w:cs="Arial"/>
          <w:color w:val="000000"/>
          <w:sz w:val="24"/>
          <w:szCs w:val="24"/>
        </w:rPr>
      </w:pPr>
    </w:p>
    <w:p w14:paraId="251F4D92" w14:textId="77777777" w:rsidR="005D7E11" w:rsidRDefault="00535337">
      <w:pPr>
        <w:pStyle w:val="EspAv05"/>
        <w:numPr>
          <w:ilvl w:val="0"/>
          <w:numId w:val="8"/>
        </w:numPr>
        <w:spacing w:before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L’ensemble du document budgétaire, annexes incluses, est transmis sous format dématérialisé.</w:t>
      </w:r>
    </w:p>
    <w:p w14:paraId="3CEFAAE3" w14:textId="77777777" w:rsidR="005D7E11" w:rsidRDefault="00535337">
      <w:pPr>
        <w:pStyle w:val="EspAv05"/>
        <w:numPr>
          <w:ilvl w:val="0"/>
          <w:numId w:val="8"/>
        </w:numPr>
        <w:spacing w:before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À partir de la télétransmission du budget primitif, tous les autres documents budgétaires de l'exercice doivent être télétransmis.</w:t>
      </w:r>
    </w:p>
    <w:p w14:paraId="517B9FEE" w14:textId="77777777" w:rsidR="005D7E11" w:rsidRDefault="005D7E11">
      <w:pPr>
        <w:pStyle w:val="EspAv05"/>
        <w:spacing w:before="0"/>
        <w:ind w:left="851" w:right="566"/>
        <w:rPr>
          <w:rFonts w:cs="Arial"/>
          <w:color w:val="000000"/>
          <w:sz w:val="24"/>
          <w:szCs w:val="24"/>
        </w:rPr>
      </w:pPr>
    </w:p>
    <w:p w14:paraId="0EB342A8" w14:textId="77777777" w:rsidR="005D7E11" w:rsidRDefault="00535337">
      <w:pPr>
        <w:pStyle w:val="EspAv05"/>
        <w:spacing w:before="0"/>
        <w:ind w:left="15" w:right="60"/>
      </w:pPr>
      <w:r>
        <w:rPr>
          <w:rFonts w:cs="Arial"/>
          <w:b/>
          <w:bCs/>
          <w:color w:val="000000"/>
          <w:sz w:val="24"/>
          <w:szCs w:val="24"/>
        </w:rPr>
        <w:t>Cet envoi dématérialisé doit s’accompagner de la télétransmission de la délibération de l’organe délibérant portant approbation du document budgétaire.</w:t>
      </w:r>
    </w:p>
    <w:p w14:paraId="0E10EEAB" w14:textId="77777777" w:rsidR="005D7E11" w:rsidRDefault="005D7E11">
      <w:pPr>
        <w:pStyle w:val="EspAv05"/>
        <w:spacing w:before="0"/>
        <w:ind w:left="-15" w:right="15"/>
        <w:rPr>
          <w:rFonts w:cs="Garamond"/>
          <w:color w:val="000000"/>
          <w:sz w:val="24"/>
          <w:szCs w:val="24"/>
        </w:rPr>
      </w:pPr>
    </w:p>
    <w:p w14:paraId="3AA0BC1C" w14:textId="77777777" w:rsidR="005D7E11" w:rsidRDefault="00535337">
      <w:pPr>
        <w:pStyle w:val="EspAv05"/>
        <w:spacing w:before="0"/>
        <w:ind w:left="-15" w:right="15"/>
      </w:pPr>
      <w:r>
        <w:rPr>
          <w:rFonts w:cs="Garamond"/>
          <w:b/>
          <w:bCs/>
          <w:color w:val="000000"/>
          <w:sz w:val="24"/>
          <w:szCs w:val="24"/>
          <w:u w:val="single"/>
        </w:rPr>
        <w:t>Article 2</w:t>
      </w:r>
      <w:r>
        <w:rPr>
          <w:rFonts w:cs="Garamond"/>
          <w:color w:val="000000"/>
          <w:sz w:val="24"/>
          <w:szCs w:val="24"/>
        </w:rPr>
        <w:t> : Les autres dispositions de la convention restent inchangées.</w:t>
      </w:r>
    </w:p>
    <w:p w14:paraId="435D5B88" w14:textId="77777777" w:rsidR="005D7E11" w:rsidRDefault="005D7E11">
      <w:pPr>
        <w:pStyle w:val="EspAv05"/>
        <w:spacing w:before="0"/>
        <w:ind w:left="-15" w:right="15"/>
        <w:rPr>
          <w:rFonts w:cs="Garamond"/>
          <w:color w:val="000000"/>
          <w:sz w:val="24"/>
          <w:szCs w:val="24"/>
        </w:rPr>
      </w:pPr>
    </w:p>
    <w:p w14:paraId="6F8D56AE" w14:textId="77777777" w:rsidR="005D7E11" w:rsidRDefault="00535337">
      <w:pPr>
        <w:pStyle w:val="EspAv05"/>
        <w:spacing w:before="0"/>
        <w:ind w:left="-15" w:right="15"/>
      </w:pPr>
      <w:r>
        <w:rPr>
          <w:rFonts w:cs="Garamond"/>
          <w:b/>
          <w:bCs/>
          <w:color w:val="000000"/>
          <w:sz w:val="24"/>
          <w:szCs w:val="24"/>
          <w:u w:val="single"/>
        </w:rPr>
        <w:t>Article 3</w:t>
      </w:r>
      <w:r>
        <w:rPr>
          <w:rFonts w:cs="Garamond"/>
          <w:color w:val="000000"/>
          <w:sz w:val="24"/>
          <w:szCs w:val="24"/>
        </w:rPr>
        <w:t> : Le présent avenant prend effet à compter de la date de sa signature par le représentant de l’État dans le département de Vaucluse.</w:t>
      </w:r>
    </w:p>
    <w:p w14:paraId="1C434F18" w14:textId="77777777" w:rsidR="005D7E11" w:rsidRDefault="005D7E11">
      <w:pPr>
        <w:pStyle w:val="EspAv05"/>
        <w:spacing w:before="0"/>
        <w:ind w:left="-15" w:right="15"/>
        <w:rPr>
          <w:rFonts w:cs="Arial"/>
          <w:color w:val="000000"/>
          <w:sz w:val="24"/>
          <w:szCs w:val="24"/>
        </w:rPr>
      </w:pPr>
    </w:p>
    <w:p w14:paraId="5D3E0530" w14:textId="77777777" w:rsidR="005D7E11" w:rsidRDefault="00535337">
      <w:pPr>
        <w:pStyle w:val="EspAv05"/>
        <w:spacing w:before="0"/>
        <w:ind w:left="-15" w:right="15"/>
      </w:pPr>
      <w:r>
        <w:rPr>
          <w:rFonts w:cs="Arial"/>
          <w:b/>
          <w:bCs/>
          <w:color w:val="000000"/>
          <w:sz w:val="24"/>
          <w:szCs w:val="24"/>
          <w:u w:val="single"/>
        </w:rPr>
        <w:t>Article 4</w:t>
      </w:r>
      <w:r>
        <w:rPr>
          <w:rFonts w:cs="Arial"/>
          <w:color w:val="000000"/>
          <w:sz w:val="24"/>
          <w:szCs w:val="24"/>
        </w:rPr>
        <w:t xml:space="preserve"> : </w:t>
      </w:r>
      <w:r>
        <w:rPr>
          <w:color w:val="000000"/>
          <w:sz w:val="24"/>
          <w:szCs w:val="24"/>
        </w:rPr>
        <w:t>Le représentant de l’État en Vaucluse et le maire de Morières-lès-Avignon sont chargés de l'exécution du présent avenant.</w:t>
      </w:r>
    </w:p>
    <w:p w14:paraId="2F59E87E" w14:textId="77777777" w:rsidR="005D7E11" w:rsidRDefault="005D7E11">
      <w:pPr>
        <w:pStyle w:val="EspAv05"/>
        <w:spacing w:before="0"/>
        <w:ind w:left="-15" w:right="15"/>
        <w:rPr>
          <w:color w:val="000000"/>
          <w:sz w:val="24"/>
          <w:szCs w:val="24"/>
        </w:rPr>
      </w:pPr>
    </w:p>
    <w:p w14:paraId="2738EC63" w14:textId="77777777" w:rsidR="005D7E11" w:rsidRDefault="005D7E11">
      <w:pPr>
        <w:pStyle w:val="EspAv05"/>
        <w:spacing w:before="0"/>
        <w:ind w:left="-15" w:right="15"/>
        <w:rPr>
          <w:color w:val="000000"/>
          <w:sz w:val="24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D7E11" w14:paraId="552C1E2F" w14:textId="7777777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157CC" w14:textId="77777777" w:rsidR="005D7E11" w:rsidRDefault="005D7E11">
            <w:pPr>
              <w:pStyle w:val="Textbodyindent"/>
              <w:ind w:left="-15" w:right="15"/>
              <w:rPr>
                <w:color w:val="000000"/>
                <w:sz w:val="24"/>
                <w:szCs w:val="24"/>
              </w:rPr>
            </w:pPr>
          </w:p>
          <w:p w14:paraId="73221209" w14:textId="77777777" w:rsidR="005D7E11" w:rsidRDefault="00535337">
            <w:pPr>
              <w:pStyle w:val="Textbodyindent"/>
              <w:ind w:left="-15" w:righ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Fait à</w:t>
            </w:r>
          </w:p>
          <w:p w14:paraId="7D1AD6CE" w14:textId="77777777" w:rsidR="005D7E11" w:rsidRDefault="005D7E11">
            <w:pPr>
              <w:pStyle w:val="Textbodyindent"/>
              <w:ind w:left="-15" w:right="15"/>
              <w:rPr>
                <w:color w:val="000000"/>
                <w:sz w:val="24"/>
                <w:szCs w:val="24"/>
              </w:rPr>
            </w:pPr>
          </w:p>
          <w:p w14:paraId="09AFA0A3" w14:textId="77777777" w:rsidR="005D7E11" w:rsidRDefault="00535337">
            <w:pPr>
              <w:pStyle w:val="Textbodyindent"/>
              <w:ind w:left="-15" w:righ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</w:t>
            </w:r>
          </w:p>
          <w:p w14:paraId="31B2542C" w14:textId="77777777" w:rsidR="005D7E11" w:rsidRDefault="005D7E11">
            <w:pPr>
              <w:pStyle w:val="Textbodyindent"/>
              <w:ind w:left="-15" w:right="15"/>
              <w:rPr>
                <w:color w:val="000000"/>
                <w:sz w:val="24"/>
                <w:szCs w:val="24"/>
              </w:rPr>
            </w:pPr>
          </w:p>
          <w:p w14:paraId="2153F65A" w14:textId="77777777" w:rsidR="005D7E11" w:rsidRDefault="00535337">
            <w:pPr>
              <w:pStyle w:val="Textbodyindent"/>
              <w:ind w:left="-15" w:righ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pour la préfecture de Vaucluse,</w:t>
            </w:r>
          </w:p>
          <w:p w14:paraId="2D1E906C" w14:textId="77777777" w:rsidR="005D7E11" w:rsidRDefault="005D7E11">
            <w:pPr>
              <w:pStyle w:val="Textbodyindent"/>
              <w:ind w:left="-15" w:right="15"/>
              <w:rPr>
                <w:color w:val="000000"/>
                <w:sz w:val="24"/>
                <w:szCs w:val="24"/>
              </w:rPr>
            </w:pPr>
          </w:p>
          <w:p w14:paraId="380DC88B" w14:textId="303B1DB3" w:rsidR="005D7E11" w:rsidRDefault="005D7E11" w:rsidP="00D82B86">
            <w:pPr>
              <w:pStyle w:val="Textbodyindent"/>
              <w:ind w:right="15"/>
              <w:rPr>
                <w:color w:val="000000"/>
                <w:sz w:val="24"/>
                <w:szCs w:val="24"/>
              </w:rPr>
            </w:pPr>
          </w:p>
          <w:p w14:paraId="6EA508AC" w14:textId="77777777" w:rsidR="00D82B86" w:rsidRDefault="00D82B86" w:rsidP="00D82B86">
            <w:pPr>
              <w:pStyle w:val="Textbodyindent"/>
              <w:ind w:right="15"/>
              <w:rPr>
                <w:color w:val="000000"/>
                <w:sz w:val="24"/>
                <w:szCs w:val="24"/>
              </w:rPr>
            </w:pPr>
          </w:p>
          <w:p w14:paraId="03D351B2" w14:textId="77777777" w:rsidR="005D7E11" w:rsidRDefault="005D7E11">
            <w:pPr>
              <w:pStyle w:val="Textbodyindent"/>
              <w:ind w:left="-15" w:righ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1BAEE" w14:textId="77777777" w:rsidR="005D7E11" w:rsidRDefault="005D7E11">
            <w:pPr>
              <w:pStyle w:val="Textbodyindent"/>
              <w:ind w:left="-15" w:right="15"/>
              <w:rPr>
                <w:color w:val="000000"/>
                <w:sz w:val="24"/>
                <w:szCs w:val="24"/>
              </w:rPr>
            </w:pPr>
          </w:p>
          <w:p w14:paraId="409D2F2D" w14:textId="77777777" w:rsidR="005D7E11" w:rsidRDefault="00535337">
            <w:pPr>
              <w:pStyle w:val="Textbodyindent"/>
              <w:ind w:left="-15" w:righ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Fait à</w:t>
            </w:r>
          </w:p>
          <w:p w14:paraId="6927AEB5" w14:textId="77777777" w:rsidR="005D7E11" w:rsidRDefault="005D7E11">
            <w:pPr>
              <w:pStyle w:val="Textbodyindent"/>
              <w:ind w:left="-15" w:right="15"/>
              <w:rPr>
                <w:rFonts w:cs="Arial (W1)"/>
                <w:color w:val="000000"/>
                <w:sz w:val="24"/>
                <w:szCs w:val="24"/>
              </w:rPr>
            </w:pPr>
          </w:p>
          <w:p w14:paraId="32663C08" w14:textId="77777777" w:rsidR="005D7E11" w:rsidRDefault="00535337">
            <w:pPr>
              <w:pStyle w:val="Textbodyindent"/>
              <w:ind w:left="-15" w:right="15"/>
              <w:rPr>
                <w:rFonts w:cs="Arial (W1)"/>
                <w:color w:val="000000"/>
                <w:sz w:val="24"/>
                <w:szCs w:val="24"/>
              </w:rPr>
            </w:pPr>
            <w:r>
              <w:rPr>
                <w:rFonts w:cs="Arial (W1)"/>
                <w:color w:val="000000"/>
                <w:sz w:val="24"/>
                <w:szCs w:val="24"/>
              </w:rPr>
              <w:t>le</w:t>
            </w:r>
          </w:p>
          <w:p w14:paraId="1719D66D" w14:textId="77777777" w:rsidR="005D7E11" w:rsidRDefault="005D7E11">
            <w:pPr>
              <w:pStyle w:val="Textbodyindent"/>
              <w:ind w:right="15"/>
              <w:rPr>
                <w:rFonts w:cs="Arial (W1)"/>
                <w:color w:val="000000"/>
                <w:sz w:val="24"/>
                <w:szCs w:val="24"/>
              </w:rPr>
            </w:pPr>
          </w:p>
          <w:p w14:paraId="5543CD11" w14:textId="77777777" w:rsidR="005D7E11" w:rsidRDefault="00535337">
            <w:pPr>
              <w:pStyle w:val="Textbodyindent"/>
              <w:ind w:right="15"/>
              <w:rPr>
                <w:rFonts w:cs="Arial (W1)"/>
                <w:color w:val="000000"/>
                <w:sz w:val="24"/>
                <w:szCs w:val="24"/>
              </w:rPr>
            </w:pPr>
            <w:r>
              <w:rPr>
                <w:rFonts w:cs="Arial (W1)"/>
                <w:color w:val="000000"/>
                <w:sz w:val="24"/>
                <w:szCs w:val="24"/>
              </w:rPr>
              <w:t>pour la collectivité,</w:t>
            </w:r>
          </w:p>
          <w:p w14:paraId="251EEB3B" w14:textId="77777777" w:rsidR="005D7E11" w:rsidRDefault="005D7E11">
            <w:pPr>
              <w:pStyle w:val="Textbodyindent"/>
              <w:ind w:left="-15" w:right="15"/>
              <w:rPr>
                <w:rFonts w:cs="Arial (W1)"/>
                <w:color w:val="000000"/>
                <w:sz w:val="24"/>
                <w:szCs w:val="24"/>
              </w:rPr>
            </w:pPr>
          </w:p>
          <w:p w14:paraId="47E5C7BB" w14:textId="77777777" w:rsidR="005D7E11" w:rsidRDefault="005D7E11" w:rsidP="00D82B86">
            <w:pPr>
              <w:pStyle w:val="Textbodyindent"/>
              <w:ind w:right="15"/>
              <w:rPr>
                <w:rFonts w:cs="Arial (W1)"/>
                <w:color w:val="000000"/>
                <w:sz w:val="24"/>
                <w:szCs w:val="24"/>
              </w:rPr>
            </w:pPr>
          </w:p>
        </w:tc>
      </w:tr>
    </w:tbl>
    <w:p w14:paraId="188ED555" w14:textId="77777777" w:rsidR="005D7E11" w:rsidRDefault="005D7E11">
      <w:pPr>
        <w:pStyle w:val="Standard"/>
        <w:rPr>
          <w:color w:val="000000"/>
        </w:rPr>
      </w:pPr>
    </w:p>
    <w:sectPr w:rsidR="005D7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27D4" w14:textId="77777777" w:rsidR="00DE4DB8" w:rsidRDefault="00DE4DB8">
      <w:pPr>
        <w:rPr>
          <w:rFonts w:hint="eastAsia"/>
        </w:rPr>
      </w:pPr>
      <w:r>
        <w:separator/>
      </w:r>
    </w:p>
  </w:endnote>
  <w:endnote w:type="continuationSeparator" w:id="0">
    <w:p w14:paraId="6CF3C10F" w14:textId="77777777" w:rsidR="00DE4DB8" w:rsidRDefault="00DE4D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altName w:val="Calibri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B44A" w14:textId="05BE0470" w:rsidR="00D82B86" w:rsidRDefault="00D82B86" w:rsidP="00D82B86">
    <w:pPr>
      <w:pStyle w:val="Pieddepage"/>
      <w:jc w:val="right"/>
    </w:pPr>
    <w:r>
      <w:rPr>
        <w:color w:val="000000"/>
        <w:sz w:val="24"/>
        <w:szCs w:val="24"/>
      </w:rPr>
      <w:t xml:space="preserve">. . / . 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FED1" w14:textId="2E0FC459" w:rsidR="00950AD1" w:rsidRDefault="00D82B86" w:rsidP="00D82B86">
    <w:pPr>
      <w:pStyle w:val="Pieddepage"/>
      <w:jc w:val="right"/>
    </w:pPr>
    <w:r>
      <w:rPr>
        <w:color w:val="000000"/>
        <w:sz w:val="24"/>
        <w:szCs w:val="24"/>
      </w:rPr>
      <w:t xml:space="preserve">. . / . 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B147" w14:textId="77777777" w:rsidR="00DE4DB8" w:rsidRDefault="00DE4D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8D4BE8" w14:textId="77777777" w:rsidR="00DE4DB8" w:rsidRDefault="00DE4DB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0F41" w14:textId="77777777" w:rsidR="00950AD1" w:rsidRDefault="00535337">
    <w:pPr>
      <w:pStyle w:val="En-tte"/>
      <w:jc w:val="right"/>
      <w:rPr>
        <w:szCs w:val="14"/>
      </w:rPr>
    </w:pPr>
    <w:r>
      <w:rPr>
        <w:szCs w:val="14"/>
      </w:rPr>
      <w:t>mod. 20210308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4AE5" w14:textId="77777777" w:rsidR="00950AD1" w:rsidRDefault="00535337">
    <w:pPr>
      <w:pStyle w:val="En-tte"/>
      <w:jc w:val="right"/>
      <w:rPr>
        <w:szCs w:val="14"/>
      </w:rPr>
    </w:pPr>
    <w:r>
      <w:rPr>
        <w:szCs w:val="14"/>
      </w:rPr>
      <w:t>mod. 20210308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A2479"/>
    <w:multiLevelType w:val="multilevel"/>
    <w:tmpl w:val="B93E0E42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42502E25"/>
    <w:multiLevelType w:val="multilevel"/>
    <w:tmpl w:val="126AE47A"/>
    <w:styleLink w:val="WW8Num1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2" w15:restartNumberingAfterBreak="0">
    <w:nsid w:val="4B066B81"/>
    <w:multiLevelType w:val="multilevel"/>
    <w:tmpl w:val="FA5C5DEC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4D794F9C"/>
    <w:multiLevelType w:val="multilevel"/>
    <w:tmpl w:val="9ACABEC4"/>
    <w:styleLink w:val="WWOutlineListStyle"/>
    <w:lvl w:ilvl="0">
      <w:start w:val="1"/>
      <w:numFmt w:val="upperRoman"/>
      <w:pStyle w:val="Titre1"/>
      <w:lvlText w:val="%1."/>
      <w:lvlJc w:val="left"/>
    </w:lvl>
    <w:lvl w:ilvl="1">
      <w:start w:val="1"/>
      <w:numFmt w:val="upperLetter"/>
      <w:pStyle w:val="Titre2"/>
      <w:lvlText w:val="%2."/>
      <w:lvlJc w:val="left"/>
    </w:lvl>
    <w:lvl w:ilvl="2">
      <w:start w:val="1"/>
      <w:numFmt w:val="decimal"/>
      <w:pStyle w:val="Titre3"/>
      <w:lvlText w:val="%3."/>
      <w:lvlJc w:val="left"/>
    </w:lvl>
    <w:lvl w:ilvl="3">
      <w:start w:val="1"/>
      <w:numFmt w:val="lowerLetter"/>
      <w:pStyle w:val="Titre4"/>
      <w:lvlText w:val="%4)"/>
      <w:lvlJc w:val="left"/>
    </w:lvl>
    <w:lvl w:ilvl="4">
      <w:start w:val="1"/>
      <w:numFmt w:val="decimal"/>
      <w:pStyle w:val="Titre5"/>
      <w:lvlText w:val="(%5)"/>
      <w:lvlJc w:val="left"/>
    </w:lvl>
    <w:lvl w:ilvl="5">
      <w:start w:val="1"/>
      <w:numFmt w:val="lowerLetter"/>
      <w:pStyle w:val="Titre6"/>
      <w:lvlText w:val="(%6)"/>
      <w:lvlJc w:val="left"/>
    </w:lvl>
    <w:lvl w:ilvl="6">
      <w:start w:val="1"/>
      <w:numFmt w:val="lowerRoman"/>
      <w:pStyle w:val="Titre7"/>
      <w:lvlText w:val="(%7)"/>
      <w:lvlJc w:val="left"/>
    </w:lvl>
    <w:lvl w:ilvl="7">
      <w:start w:val="1"/>
      <w:numFmt w:val="lowerLetter"/>
      <w:pStyle w:val="Titre8"/>
      <w:lvlText w:val="(%8)"/>
      <w:lvlJc w:val="left"/>
    </w:lvl>
    <w:lvl w:ilvl="8">
      <w:start w:val="1"/>
      <w:numFmt w:val="lowerRoman"/>
      <w:pStyle w:val="Titre9"/>
      <w:lvlText w:val="(%9)"/>
      <w:lvlJc w:val="left"/>
    </w:lvl>
  </w:abstractNum>
  <w:abstractNum w:abstractNumId="4" w15:restartNumberingAfterBreak="0">
    <w:nsid w:val="68DA5052"/>
    <w:multiLevelType w:val="multilevel"/>
    <w:tmpl w:val="236E9750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6EF33817"/>
    <w:multiLevelType w:val="multilevel"/>
    <w:tmpl w:val="2966BAB4"/>
    <w:styleLink w:val="Outline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6" w15:restartNumberingAfterBreak="0">
    <w:nsid w:val="70960B26"/>
    <w:multiLevelType w:val="multilevel"/>
    <w:tmpl w:val="E03844F8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 w16cid:durableId="1878158842">
    <w:abstractNumId w:val="3"/>
  </w:num>
  <w:num w:numId="2" w16cid:durableId="145323944">
    <w:abstractNumId w:val="5"/>
  </w:num>
  <w:num w:numId="3" w16cid:durableId="1520046559">
    <w:abstractNumId w:val="1"/>
  </w:num>
  <w:num w:numId="4" w16cid:durableId="474032963">
    <w:abstractNumId w:val="0"/>
  </w:num>
  <w:num w:numId="5" w16cid:durableId="796072769">
    <w:abstractNumId w:val="6"/>
  </w:num>
  <w:num w:numId="6" w16cid:durableId="1271857890">
    <w:abstractNumId w:val="2"/>
  </w:num>
  <w:num w:numId="7" w16cid:durableId="1265072899">
    <w:abstractNumId w:val="0"/>
  </w:num>
  <w:num w:numId="8" w16cid:durableId="852455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11"/>
    <w:rsid w:val="00302236"/>
    <w:rsid w:val="00535337"/>
    <w:rsid w:val="005D7E11"/>
    <w:rsid w:val="007F7C70"/>
    <w:rsid w:val="00A92107"/>
    <w:rsid w:val="00B164E7"/>
    <w:rsid w:val="00BF3C4E"/>
    <w:rsid w:val="00D82B86"/>
    <w:rsid w:val="00D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0AA8"/>
  <w15:docId w15:val="{3823F437-50E3-4ECD-A5E3-51D10760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Titregnral"/>
    <w:next w:val="EspAv1"/>
    <w:uiPriority w:val="9"/>
    <w:qFormat/>
    <w:pPr>
      <w:numPr>
        <w:numId w:val="1"/>
      </w:numPr>
      <w:spacing w:before="1440"/>
      <w:outlineLvl w:val="0"/>
    </w:pPr>
    <w:rPr>
      <w:u w:val="thick"/>
    </w:rPr>
  </w:style>
  <w:style w:type="paragraph" w:styleId="Titre2">
    <w:name w:val="heading 2"/>
    <w:basedOn w:val="Titre1"/>
    <w:next w:val="EspAv05"/>
    <w:uiPriority w:val="9"/>
    <w:semiHidden/>
    <w:unhideWhenUsed/>
    <w:qFormat/>
    <w:pPr>
      <w:numPr>
        <w:ilvl w:val="1"/>
      </w:numPr>
      <w:spacing w:before="720"/>
      <w:jc w:val="left"/>
      <w:outlineLvl w:val="1"/>
    </w:pPr>
    <w:rPr>
      <w:sz w:val="28"/>
      <w:u w:val="single"/>
    </w:rPr>
  </w:style>
  <w:style w:type="paragraph" w:styleId="Titre3">
    <w:name w:val="heading 3"/>
    <w:basedOn w:val="Titre2"/>
    <w:next w:val="EspAv05"/>
    <w:uiPriority w:val="9"/>
    <w:semiHidden/>
    <w:unhideWhenUsed/>
    <w:qFormat/>
    <w:pPr>
      <w:numPr>
        <w:ilvl w:val="2"/>
      </w:numPr>
      <w:spacing w:before="480"/>
      <w:outlineLvl w:val="2"/>
    </w:pPr>
    <w:rPr>
      <w:sz w:val="26"/>
      <w:u w:val="dotted"/>
    </w:rPr>
  </w:style>
  <w:style w:type="paragraph" w:styleId="Titre4">
    <w:name w:val="heading 4"/>
    <w:basedOn w:val="Titre2"/>
    <w:next w:val="EspAv05"/>
    <w:uiPriority w:val="9"/>
    <w:semiHidden/>
    <w:unhideWhenUsed/>
    <w:qFormat/>
    <w:pPr>
      <w:numPr>
        <w:ilvl w:val="3"/>
      </w:numPr>
      <w:spacing w:before="360"/>
      <w:outlineLvl w:val="3"/>
    </w:pPr>
    <w:rPr>
      <w:i/>
      <w:sz w:val="24"/>
      <w:u w:val="none"/>
    </w:rPr>
  </w:style>
  <w:style w:type="paragraph" w:styleId="Titre5">
    <w:name w:val="heading 5"/>
    <w:basedOn w:val="Titre2"/>
    <w:next w:val="EspAv05"/>
    <w:uiPriority w:val="9"/>
    <w:semiHidden/>
    <w:unhideWhenUsed/>
    <w:qFormat/>
    <w:pPr>
      <w:numPr>
        <w:ilvl w:val="4"/>
      </w:numPr>
      <w:spacing w:before="240"/>
      <w:outlineLvl w:val="4"/>
    </w:pPr>
    <w:rPr>
      <w:smallCaps/>
      <w:sz w:val="22"/>
      <w:u w:val="none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keepNext/>
      <w:numPr>
        <w:ilvl w:val="5"/>
        <w:numId w:val="1"/>
      </w:numPr>
      <w:jc w:val="center"/>
      <w:outlineLvl w:val="5"/>
    </w:pPr>
    <w:rPr>
      <w:b/>
      <w:sz w:val="14"/>
    </w:rPr>
  </w:style>
  <w:style w:type="paragraph" w:styleId="Titre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Standard">
    <w:name w:val="Standard"/>
    <w:pPr>
      <w:keepLines/>
      <w:widowControl/>
      <w:suppressAutoHyphens/>
      <w:jc w:val="both"/>
    </w:pPr>
    <w:rPr>
      <w:rFonts w:ascii="Arial" w:eastAsia="Times New Roman" w:hAnsi="Arial" w:cs="Times New Roman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gnral">
    <w:name w:val="Titre général"/>
    <w:basedOn w:val="Standard"/>
    <w:next w:val="EspAv1"/>
    <w:pPr>
      <w:keepNext/>
      <w:spacing w:before="240"/>
      <w:jc w:val="center"/>
    </w:pPr>
    <w:rPr>
      <w:b/>
      <w:sz w:val="30"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styleId="Titre">
    <w:name w:val="Title"/>
    <w:basedOn w:val="Standard"/>
    <w:next w:val="Textbody"/>
    <w:uiPriority w:val="10"/>
    <w:qFormat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Sous-titre">
    <w:name w:val="Subtitle"/>
    <w:basedOn w:val="Titre"/>
    <w:next w:val="Textbody"/>
    <w:uiPriority w:val="11"/>
    <w:qFormat/>
    <w:pPr>
      <w:jc w:val="center"/>
    </w:pPr>
    <w:rPr>
      <w:i/>
      <w:iCs/>
    </w:rPr>
  </w:style>
  <w:style w:type="paragraph" w:styleId="Pieddepage">
    <w:name w:val="footer"/>
    <w:basedOn w:val="Standard"/>
    <w:pPr>
      <w:tabs>
        <w:tab w:val="center" w:pos="4820"/>
        <w:tab w:val="right" w:pos="9639"/>
      </w:tabs>
    </w:pPr>
    <w:rPr>
      <w:sz w:val="14"/>
    </w:rPr>
  </w:style>
  <w:style w:type="paragraph" w:styleId="En-tte">
    <w:name w:val="header"/>
    <w:basedOn w:val="Pieddepage"/>
  </w:style>
  <w:style w:type="paragraph" w:customStyle="1" w:styleId="EspAv0">
    <w:name w:val="EspAv 0"/>
    <w:basedOn w:val="Standard"/>
  </w:style>
  <w:style w:type="paragraph" w:customStyle="1" w:styleId="EspAv1">
    <w:name w:val="EspAv 1"/>
    <w:basedOn w:val="EspAv0"/>
    <w:pPr>
      <w:spacing w:before="240"/>
    </w:pPr>
  </w:style>
  <w:style w:type="paragraph" w:customStyle="1" w:styleId="EspAv05">
    <w:name w:val="EspAv 0.5"/>
    <w:basedOn w:val="EspAv0"/>
    <w:pPr>
      <w:spacing w:before="120"/>
    </w:pPr>
  </w:style>
  <w:style w:type="paragraph" w:customStyle="1" w:styleId="Contents1">
    <w:name w:val="Contents 1"/>
    <w:basedOn w:val="Standard"/>
    <w:next w:val="Standard"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customStyle="1" w:styleId="Contents2">
    <w:name w:val="Contents 2"/>
    <w:basedOn w:val="Standard"/>
    <w:next w:val="Standard"/>
    <w:pPr>
      <w:ind w:left="220"/>
      <w:jc w:val="left"/>
    </w:pPr>
    <w:rPr>
      <w:rFonts w:ascii="Times New Roman" w:hAnsi="Times New Roman"/>
      <w:smallCaps/>
      <w:sz w:val="20"/>
    </w:rPr>
  </w:style>
  <w:style w:type="paragraph" w:customStyle="1" w:styleId="Contents3">
    <w:name w:val="Contents 3"/>
    <w:basedOn w:val="Standard"/>
    <w:next w:val="Standard"/>
    <w:pPr>
      <w:ind w:left="440"/>
      <w:jc w:val="left"/>
    </w:pPr>
    <w:rPr>
      <w:rFonts w:ascii="Times New Roman" w:hAnsi="Times New Roman"/>
      <w:i/>
      <w:sz w:val="20"/>
    </w:rPr>
  </w:style>
  <w:style w:type="paragraph" w:customStyle="1" w:styleId="Contents4">
    <w:name w:val="Contents 4"/>
    <w:basedOn w:val="Standard"/>
    <w:next w:val="Standard"/>
    <w:pPr>
      <w:ind w:left="660"/>
      <w:jc w:val="left"/>
    </w:pPr>
    <w:rPr>
      <w:rFonts w:ascii="Times New Roman" w:hAnsi="Times New Roman"/>
      <w:sz w:val="18"/>
    </w:rPr>
  </w:style>
  <w:style w:type="paragraph" w:customStyle="1" w:styleId="Contents5">
    <w:name w:val="Contents 5"/>
    <w:basedOn w:val="Standard"/>
    <w:next w:val="Standard"/>
    <w:pPr>
      <w:ind w:left="880"/>
      <w:jc w:val="left"/>
    </w:pPr>
    <w:rPr>
      <w:rFonts w:ascii="Times New Roman" w:hAnsi="Times New Roman"/>
      <w:sz w:val="18"/>
    </w:rPr>
  </w:style>
  <w:style w:type="paragraph" w:customStyle="1" w:styleId="Contents6">
    <w:name w:val="Contents 6"/>
    <w:basedOn w:val="Standard"/>
    <w:next w:val="Standard"/>
    <w:pPr>
      <w:ind w:left="1100"/>
      <w:jc w:val="left"/>
    </w:pPr>
    <w:rPr>
      <w:rFonts w:ascii="Times New Roman" w:hAnsi="Times New Roman"/>
      <w:sz w:val="18"/>
    </w:rPr>
  </w:style>
  <w:style w:type="paragraph" w:customStyle="1" w:styleId="Contents7">
    <w:name w:val="Contents 7"/>
    <w:basedOn w:val="Standard"/>
    <w:next w:val="Standard"/>
    <w:pPr>
      <w:ind w:left="1320"/>
      <w:jc w:val="left"/>
    </w:pPr>
    <w:rPr>
      <w:rFonts w:ascii="Times New Roman" w:hAnsi="Times New Roman"/>
      <w:sz w:val="18"/>
    </w:rPr>
  </w:style>
  <w:style w:type="paragraph" w:customStyle="1" w:styleId="Contents8">
    <w:name w:val="Contents 8"/>
    <w:basedOn w:val="Standard"/>
    <w:next w:val="Standard"/>
    <w:pPr>
      <w:ind w:left="1540"/>
      <w:jc w:val="left"/>
    </w:pPr>
    <w:rPr>
      <w:rFonts w:ascii="Times New Roman" w:hAnsi="Times New Roman"/>
      <w:sz w:val="18"/>
    </w:rPr>
  </w:style>
  <w:style w:type="paragraph" w:customStyle="1" w:styleId="Contents9">
    <w:name w:val="Contents 9"/>
    <w:basedOn w:val="Standard"/>
    <w:next w:val="Standard"/>
    <w:pPr>
      <w:ind w:left="1760"/>
      <w:jc w:val="left"/>
    </w:pPr>
    <w:rPr>
      <w:rFonts w:ascii="Times New Roman" w:hAnsi="Times New Roman"/>
      <w:sz w:val="18"/>
    </w:rPr>
  </w:style>
  <w:style w:type="paragraph" w:styleId="Textedebulles">
    <w:name w:val="Balloon Text"/>
    <w:basedOn w:val="Standard"/>
    <w:rPr>
      <w:rFonts w:ascii="Tahoma" w:eastAsia="Tahoma" w:hAnsi="Tahoma" w:cs="Wingdings"/>
      <w:sz w:val="16"/>
      <w:szCs w:val="16"/>
    </w:rPr>
  </w:style>
  <w:style w:type="paragraph" w:styleId="NormalWeb">
    <w:name w:val="Normal (Web)"/>
    <w:basedOn w:val="Standard"/>
    <w:pPr>
      <w:keepLines w:val="0"/>
      <w:spacing w:before="100" w:after="119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Pr>
      <w:rFonts w:eastAsia="Arial" w:cs="Arial"/>
    </w:rPr>
  </w:style>
  <w:style w:type="paragraph" w:customStyle="1" w:styleId="Style1">
    <w:name w:val="Style1"/>
    <w:basedOn w:val="Standard"/>
    <w:pPr>
      <w:autoSpaceDE w:val="0"/>
      <w:spacing w:before="120"/>
    </w:pPr>
    <w:rPr>
      <w:szCs w:val="22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Policepardfaut">
    <w:name w:val="WW-Police par défaut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  <w:i w:val="0"/>
      <w:sz w:val="20"/>
    </w:rPr>
  </w:style>
  <w:style w:type="character" w:customStyle="1" w:styleId="WW-Policepardfaut1">
    <w:name w:val="WW-Police par défaut1"/>
  </w:style>
  <w:style w:type="character" w:styleId="Numrodepage">
    <w:name w:val="page number"/>
    <w:basedOn w:val="WW-Policepardfaut1"/>
  </w:style>
  <w:style w:type="character" w:customStyle="1" w:styleId="Internetlink">
    <w:name w:val="Internet link"/>
    <w:basedOn w:val="WW-Policepardfaut1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Outline">
    <w:name w:val="Outline"/>
    <w:basedOn w:val="Aucuneliste"/>
    <w:pPr>
      <w:numPr>
        <w:numId w:val="2"/>
      </w:numPr>
    </w:pPr>
  </w:style>
  <w:style w:type="numbering" w:customStyle="1" w:styleId="WW8Num1">
    <w:name w:val="WW8Num1"/>
    <w:basedOn w:val="Aucuneliste"/>
    <w:pPr>
      <w:numPr>
        <w:numId w:val="3"/>
      </w:numPr>
    </w:pPr>
  </w:style>
  <w:style w:type="numbering" w:customStyle="1" w:styleId="WW8Num2">
    <w:name w:val="WW8Num2"/>
    <w:basedOn w:val="Aucuneliste"/>
    <w:pPr>
      <w:numPr>
        <w:numId w:val="4"/>
      </w:numPr>
    </w:pPr>
  </w:style>
  <w:style w:type="numbering" w:customStyle="1" w:styleId="WW8Num3">
    <w:name w:val="WW8Num3"/>
    <w:basedOn w:val="Aucuneliste"/>
    <w:pPr>
      <w:numPr>
        <w:numId w:val="5"/>
      </w:numPr>
    </w:pPr>
  </w:style>
  <w:style w:type="numbering" w:customStyle="1" w:styleId="WW8Num4">
    <w:name w:val="WW8Num4"/>
    <w:basedOn w:val="Aucunelist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TRANSMISSIONS ET DE L’INFORMATIQUE</dc:title>
  <dc:creator>Aurelie MATHON</dc:creator>
  <cp:lastModifiedBy>Aurelie MATHON</cp:lastModifiedBy>
  <cp:revision>2</cp:revision>
  <dcterms:created xsi:type="dcterms:W3CDTF">2022-07-04T13:27:00Z</dcterms:created>
  <dcterms:modified xsi:type="dcterms:W3CDTF">2022-07-04T13:27:00Z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